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3"/>
        <w:spacing w:before="0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1051560</wp:posOffset>
            </wp:positionH>
            <wp:positionV relativeFrom="page">
              <wp:posOffset>751205</wp:posOffset>
            </wp:positionV>
            <wp:extent cx="5589905" cy="57785"/>
            <wp:effectExtent l="0" t="0" r="10795" b="18415"/>
            <wp:wrapNone/>
            <wp:docPr id="3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投诉、申诉和争议处理程序</w:t>
      </w:r>
      <w:r>
        <w:rPr>
          <w:rStyle w:val="3"/>
          <w:rFonts w:ascii="Times New Roman" w:hAnsiTheme="minorHAnsi" w:eastAsiaTheme="minorHAnsi" w:cstheme="minorBidi"/>
          <w:color w:val="000000"/>
          <w:spacing w:val="2832"/>
          <w:sz w:val="24"/>
        </w:rPr>
        <w:t xml:space="preserve"> </w:t>
      </w: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HXJT/P11-B-2019</w:t>
      </w:r>
      <w:r>
        <w:rPr>
          <w:rStyle w:val="3"/>
          <w:rFonts w:ascii="Times New Roman" w:hAnsiTheme="minorHAnsi" w:eastAsiaTheme="minorHAnsi" w:cstheme="minorBidi"/>
          <w:color w:val="000000"/>
          <w:spacing w:val="180"/>
          <w:sz w:val="24"/>
        </w:rPr>
        <w:t xml:space="preserve"> </w:t>
      </w: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B/0</w:t>
      </w:r>
    </w:p>
    <w:p>
      <w:pPr>
        <w:pStyle w:val="113"/>
        <w:spacing w:before="374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1.目的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为保证公司开展管理体系认证工作的公正性，维护委托方和获证组织及其它相关方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的合法权益，使申诉、投诉和争议得到及时、准确、公正地解决，特制定本程序。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2.范围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2.1</w:t>
      </w:r>
      <w:r>
        <w:rPr>
          <w:rStyle w:val="3"/>
          <w:rFonts w:ascii="Times New Roman" w:hAnsiTheme="minorHAnsi" w:eastAsiaTheme="minorHAnsi" w:cstheme="minorBidi"/>
          <w:color w:val="000000"/>
          <w:spacing w:val="5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6"/>
          <w:sz w:val="24"/>
        </w:rPr>
        <w:t>本程序适用于申请公司认证、已获得公司认证的组织及其他各方对公司的申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诉、投诉和争议以及客户抱怨。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2.2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下列情况不属于受理范围：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2.2.1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已进入法律程序的申诉、投诉、争议。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2.2.2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申请人和获证方因民事、经济纠纷引发的申诉、投诉、争议。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2.2.3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超出公司业务范围的申诉、投诉、争议。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2.2.4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争议双方达成调解协议并已执行，并且没有新情况、新理由的申诉、投诉、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争议。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2.2.5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不符合国家法律、法规的申诉、投诉、争议。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2.2.6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证据不全的申诉、投诉、争议。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2.2.7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经过有关部门处理过的申诉、投诉、争议。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2.2.8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属于纪检部门、监察机关管辖范围的申诉、投诉、争议。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3.定义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3.1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申诉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申诉是指当委托人或获证组织（即申诉人）对公司做出的，与其期望的认证受理和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认证决定的有关不利决定所提出的重新考虑的书面请求。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注：不利决定包括：拒绝接受申请、拒绝继续进行审核、要求采取纠正措施、变更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认证范围、不予保持、暂停或撤销的认证决定、阻碍获得认证的任何其他措施等。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3.2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投诉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投诉是指任何组织或个人（即投诉人）向公司表达的，有别于申诉并希望得到答复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的，对公司的认证活动或对已获证组织的活动提出不满的正式书面表示。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3.3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争议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争议是指认证委托人或获证组织（即争议人）对公司的认证程序和认证技术问题不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同意见的书面表述。</w:t>
      </w:r>
    </w:p>
    <w:p>
      <w:pPr>
        <w:pStyle w:val="113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4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职责</w:t>
      </w:r>
    </w:p>
    <w:p>
      <w:pPr>
        <w:pStyle w:val="113"/>
        <w:spacing w:before="789" w:after="0" w:line="198" w:lineRule="exact"/>
        <w:ind w:left="4109" w:right="0" w:firstLine="0"/>
        <w:jc w:val="left"/>
        <w:rPr>
          <w:rStyle w:val="3"/>
          <w:rFonts w:ascii="OAIFQV+TimesNewRomanPSMT" w:hAnsiTheme="minorHAnsi" w:eastAsiaTheme="minorHAnsi" w:cstheme="minorBidi"/>
          <w:color w:val="000000"/>
          <w:spacing w:val="0"/>
          <w:sz w:val="18"/>
        </w:rPr>
        <w:sectPr>
          <w:pgSz w:w="11900" w:h="16820"/>
          <w:pgMar w:top="869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Style w:val="3"/>
          <w:rFonts w:ascii="OAIFQV+TimesNewRomanPSMT" w:hAnsiTheme="minorHAnsi" w:eastAsiaTheme="minorHAnsi" w:cstheme="minorBidi"/>
          <w:color w:val="000000"/>
          <w:spacing w:val="0"/>
          <w:sz w:val="18"/>
        </w:rPr>
        <w:t>1</w:t>
      </w:r>
    </w:p>
    <w:p>
      <w:pPr>
        <w:pStyle w:val="114"/>
        <w:spacing w:before="0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drawing>
          <wp:anchor distT="0" distB="0" distL="114300" distR="114300" simplePos="0" relativeHeight="251697152" behindDoc="1" locked="0" layoutInCell="1" allowOverlap="1">
            <wp:simplePos x="0" y="0"/>
            <wp:positionH relativeFrom="page">
              <wp:posOffset>1051560</wp:posOffset>
            </wp:positionH>
            <wp:positionV relativeFrom="page">
              <wp:posOffset>751205</wp:posOffset>
            </wp:positionV>
            <wp:extent cx="5589905" cy="57785"/>
            <wp:effectExtent l="0" t="0" r="10795" b="18415"/>
            <wp:wrapNone/>
            <wp:docPr id="4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投诉、申诉和争议处理程序</w:t>
      </w:r>
      <w:r>
        <w:rPr>
          <w:rStyle w:val="3"/>
          <w:rFonts w:ascii="Times New Roman" w:hAnsiTheme="minorHAnsi" w:eastAsiaTheme="minorHAnsi" w:cstheme="minorBidi"/>
          <w:color w:val="000000"/>
          <w:spacing w:val="2832"/>
          <w:sz w:val="24"/>
        </w:rPr>
        <w:t xml:space="preserve"> </w:t>
      </w: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HXJT/P11-B-2019</w:t>
      </w:r>
      <w:r>
        <w:rPr>
          <w:rStyle w:val="3"/>
          <w:rFonts w:ascii="Times New Roman" w:hAnsiTheme="minorHAnsi" w:eastAsiaTheme="minorHAnsi" w:cstheme="minorBidi"/>
          <w:color w:val="000000"/>
          <w:spacing w:val="180"/>
          <w:sz w:val="24"/>
        </w:rPr>
        <w:t xml:space="preserve"> </w:t>
      </w: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B/0</w:t>
      </w:r>
    </w:p>
    <w:p>
      <w:pPr>
        <w:pStyle w:val="114"/>
        <w:spacing w:before="374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4.1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总经理是重大申诉、投诉、争议处理结果的批准人；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4.2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-1"/>
          <w:sz w:val="24"/>
        </w:rPr>
        <w:t>业务部是争议、投诉和申诉处理的管理部门；负责受理来自各界的争议、投诉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和申诉，负责组织调查，提出处理建议，报总经理审批；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4.3</w:t>
      </w:r>
      <w:r>
        <w:rPr>
          <w:rStyle w:val="3"/>
          <w:rFonts w:ascii="Times New Roman" w:hAnsiTheme="minorHAnsi" w:eastAsiaTheme="minorHAnsi" w:cstheme="minorBidi"/>
          <w:color w:val="000000"/>
          <w:spacing w:val="6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公司各部门负责配合调查申诉、投诉、争议。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5.程序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5.1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原则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5.1.1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-1"/>
          <w:sz w:val="24"/>
        </w:rPr>
        <w:t>为体现公正性，参与原认证审核及认证决定的相关人员不应参与申诉、投诉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和争议的处理过程。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5.1.2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-1"/>
          <w:sz w:val="24"/>
        </w:rPr>
        <w:t>处理申诉、投诉、争议的工作人员对所涉及到的有关非公开信息负有保密责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任。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5.1.3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-1"/>
          <w:sz w:val="24"/>
        </w:rPr>
        <w:t>工作人员处理申诉、投诉和争议须以事实为依据，保持客观公正，不应有针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对申、投诉提出人的任何歧视行为。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5.2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投诉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5.2.1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-1"/>
          <w:sz w:val="24"/>
        </w:rPr>
        <w:t>投诉应以书面形式提交业务部。投诉人应提供所投诉事件的细节情况、必要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的证明材料并签名或盖章。对于匿名投诉、与公司负责的认证活动无关的投诉等可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不予受理，但公司可将其作为工作改进的参考，进行必要的调查、记录并在适当时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采取纠正、预防措施。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5.2.2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-1"/>
          <w:sz w:val="24"/>
        </w:rPr>
        <w:t>对于署名投诉，业务部将充分了解投诉事件所涉及的全部信息（包括公司管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理体系中存在的倾向性因素），确认投诉是否属于投诉受理范围（如是否与公司负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责的认证活动有关），若有关才予以受理。如果投诉与获证客户有关，业务部在调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查投诉时应考虑获证客户管理体系的有效性。对于针对获证客户的投诉，公司业务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部还应在适当的时间将投诉告知该客户。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5.2.3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-1"/>
          <w:sz w:val="24"/>
        </w:rPr>
        <w:t>业务部要及时收集与核实情况所需的一切信息（各类证据），必要时进行现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场调查取证。对于处理投诉时涉及投诉人和投诉事项的方面应满足保密要求。投诉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处理过程应包括以下方法：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a)</w:t>
      </w:r>
      <w:r>
        <w:rPr>
          <w:rStyle w:val="3"/>
          <w:rFonts w:ascii="Times New Roman" w:hAnsiTheme="minorHAnsi" w:eastAsiaTheme="minorHAnsi" w:cstheme="minorBidi"/>
          <w:color w:val="000000"/>
          <w:spacing w:val="6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受理、确认和调查投诉的过程，以及决定采取何种措施以回应投诉的过程；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b)</w:t>
      </w:r>
      <w:r>
        <w:rPr>
          <w:rStyle w:val="3"/>
          <w:rFonts w:ascii="Times New Roman" w:hAnsiTheme="minorHAnsi" w:eastAsiaTheme="minorHAnsi" w:cstheme="minorBidi"/>
          <w:color w:val="000000"/>
          <w:spacing w:val="6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跟踪和记录投诉，包括为回应投诉而采取的措施；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c)</w:t>
      </w:r>
      <w:r>
        <w:rPr>
          <w:rStyle w:val="3"/>
          <w:rFonts w:ascii="Times New Roman" w:hAnsiTheme="minorHAnsi" w:eastAsiaTheme="minorHAnsi" w:cstheme="minorBidi"/>
          <w:color w:val="000000"/>
          <w:spacing w:val="6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确保采取任何适当的纠正和纠正措施。</w:t>
      </w:r>
    </w:p>
    <w:p>
      <w:pPr>
        <w:pStyle w:val="114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5.2.4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投诉人对投诉处理结果不满时，有权在接到处理决定的</w:t>
      </w:r>
      <w:r>
        <w:rPr>
          <w:rStyle w:val="3"/>
          <w:rFonts w:ascii="Times New Roman" w:hAnsiTheme="minorHAnsi" w:eastAsiaTheme="minorHAnsi" w:cstheme="minorBidi"/>
          <w:color w:val="000000"/>
          <w:spacing w:val="60"/>
          <w:sz w:val="24"/>
        </w:rPr>
        <w:t xml:space="preserve"> </w:t>
      </w: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10</w:t>
      </w:r>
      <w:r>
        <w:rPr>
          <w:rStyle w:val="3"/>
          <w:rFonts w:ascii="Times New Roman" w:hAnsiTheme="minorHAnsi" w:eastAsiaTheme="minorHAnsi" w:cstheme="minorBidi"/>
          <w:color w:val="000000"/>
          <w:spacing w:val="19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个工作日内向公</w:t>
      </w:r>
    </w:p>
    <w:p>
      <w:pPr>
        <w:pStyle w:val="114"/>
        <w:spacing w:before="789" w:after="0" w:line="198" w:lineRule="exact"/>
        <w:ind w:left="4109" w:right="0" w:firstLine="0"/>
        <w:jc w:val="left"/>
        <w:rPr>
          <w:rStyle w:val="3"/>
          <w:rFonts w:ascii="LPLRPW+TimesNewRomanPSMT" w:hAnsiTheme="minorHAnsi" w:eastAsiaTheme="minorHAnsi" w:cstheme="minorBidi"/>
          <w:color w:val="000000"/>
          <w:spacing w:val="0"/>
          <w:sz w:val="18"/>
        </w:rPr>
        <w:sectPr>
          <w:pgSz w:w="11900" w:h="16820"/>
          <w:pgMar w:top="869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Style w:val="3"/>
          <w:rFonts w:ascii="LPLRPW+TimesNewRomanPSMT" w:hAnsiTheme="minorHAnsi" w:eastAsiaTheme="minorHAnsi" w:cstheme="minorBidi"/>
          <w:color w:val="000000"/>
          <w:spacing w:val="0"/>
          <w:sz w:val="18"/>
        </w:rPr>
        <w:t>2</w:t>
      </w:r>
    </w:p>
    <w:p>
      <w:pPr>
        <w:pStyle w:val="115"/>
        <w:spacing w:before="0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drawing>
          <wp:anchor distT="0" distB="0" distL="114300" distR="114300" simplePos="0" relativeHeight="251701248" behindDoc="1" locked="0" layoutInCell="1" allowOverlap="1">
            <wp:simplePos x="0" y="0"/>
            <wp:positionH relativeFrom="page">
              <wp:posOffset>1051560</wp:posOffset>
            </wp:positionH>
            <wp:positionV relativeFrom="page">
              <wp:posOffset>751205</wp:posOffset>
            </wp:positionV>
            <wp:extent cx="5589905" cy="57785"/>
            <wp:effectExtent l="0" t="0" r="10795" b="18415"/>
            <wp:wrapNone/>
            <wp:docPr id="5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投诉、申诉和争议处理程序</w:t>
      </w:r>
      <w:r>
        <w:rPr>
          <w:rStyle w:val="3"/>
          <w:rFonts w:ascii="Times New Roman" w:hAnsiTheme="minorHAnsi" w:eastAsiaTheme="minorHAnsi" w:cstheme="minorBidi"/>
          <w:color w:val="000000"/>
          <w:spacing w:val="2832"/>
          <w:sz w:val="24"/>
        </w:rPr>
        <w:t xml:space="preserve"> </w:t>
      </w: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HXJT/P11-B-2019</w:t>
      </w:r>
      <w:r>
        <w:rPr>
          <w:rStyle w:val="3"/>
          <w:rFonts w:ascii="Times New Roman" w:hAnsiTheme="minorHAnsi" w:eastAsiaTheme="minorHAnsi" w:cstheme="minorBidi"/>
          <w:color w:val="000000"/>
          <w:spacing w:val="180"/>
          <w:sz w:val="24"/>
        </w:rPr>
        <w:t xml:space="preserve"> </w:t>
      </w: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B/0</w:t>
      </w:r>
    </w:p>
    <w:p>
      <w:pPr>
        <w:pStyle w:val="115"/>
        <w:spacing w:before="374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司或公司的上级主管部门进一步提出申诉。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5.2.5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-8"/>
          <w:sz w:val="24"/>
        </w:rPr>
        <w:t>针对获证组织的投诉，业务部按照受理责任，将调查核实投诉的必要信息（除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负有保密责任的信息之外）告知该获证组织，要求其书面说明相关的情况、以及分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析原因、采取必要纠正/预防措施、实施改进的情况。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5.2.6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-1"/>
          <w:sz w:val="24"/>
        </w:rPr>
        <w:t>投诉的受理、调查处理应由与投诉事项无关的人员实施，业务部汇总并形成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投诉处理建议经总经理批准后，应正式向投诉人提供书面投诉处理进展报告及处理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结论。必要时，征求投诉人及客户的意见，确定是否应将投诉事项予以公开，及公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开的方式和程度。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5.2.7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投诉应在受理后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60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日内处理完毕。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5.3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投诉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5.3.1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-1"/>
          <w:sz w:val="24"/>
        </w:rPr>
        <w:t>投诉应以书面形式提交业务部。投诉人应提供所投诉事件的细节情况、必要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的证明材料并签名或盖章。对于匿名投诉、与公司负责的认证活动无关的投诉等可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不予受理，但公司可将其作为工作改进的参考，进行必要的调查、记录并在适当时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采取纠正、预防措施。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5.3.2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-1"/>
          <w:sz w:val="24"/>
        </w:rPr>
        <w:t>对于署名投诉，业务部将充分了解投诉事件所涉及的全部信息（包括公司管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理体系中存在的倾向性因素），确认投诉是否属于投诉受理范围（如是否与公司负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责的认证活动有关），若有关才予以受理。如果投诉与获证客户有关，业务部在调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查投诉时应考虑获证客户管理体系的有效性。对于针对获证客户的投诉，公司业务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部还应在适当的时间将投诉告知该客户。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5.3.3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-1"/>
          <w:sz w:val="24"/>
        </w:rPr>
        <w:t>业务部要及时收集与核实情况所需的一切信息（各类证据），必要时进行现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场调查取证。对于处理投诉时涉及投诉人和投诉事项的方面应满足保密要求。投诉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处理过程应包括以下方法：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a)</w:t>
      </w:r>
      <w:r>
        <w:rPr>
          <w:rStyle w:val="3"/>
          <w:rFonts w:ascii="Times New Roman" w:hAnsiTheme="minorHAnsi" w:eastAsiaTheme="minorHAnsi" w:cstheme="minorBidi"/>
          <w:color w:val="000000"/>
          <w:spacing w:val="6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受理、确认和调查投诉的过程，以及决定采取何种措施以回应投诉的过程；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b)</w:t>
      </w:r>
      <w:r>
        <w:rPr>
          <w:rStyle w:val="3"/>
          <w:rFonts w:ascii="Times New Roman" w:hAnsiTheme="minorHAnsi" w:eastAsiaTheme="minorHAnsi" w:cstheme="minorBidi"/>
          <w:color w:val="000000"/>
          <w:spacing w:val="6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跟踪和记录投诉，包括为回应投诉而采取的措施；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c)</w:t>
      </w:r>
      <w:r>
        <w:rPr>
          <w:rStyle w:val="3"/>
          <w:rFonts w:ascii="Times New Roman" w:hAnsiTheme="minorHAnsi" w:eastAsiaTheme="minorHAnsi" w:cstheme="minorBidi"/>
          <w:color w:val="000000"/>
          <w:spacing w:val="6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确保采取任何适当的纠正和纠正措施。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5.3.4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投诉人对投诉处理结果不满时，有权在接到处理决定的</w:t>
      </w:r>
      <w:r>
        <w:rPr>
          <w:rStyle w:val="3"/>
          <w:rFonts w:ascii="Times New Roman" w:hAnsiTheme="minorHAnsi" w:eastAsiaTheme="minorHAnsi" w:cstheme="minorBidi"/>
          <w:color w:val="000000"/>
          <w:spacing w:val="60"/>
          <w:sz w:val="24"/>
        </w:rPr>
        <w:t xml:space="preserve"> </w:t>
      </w: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10</w:t>
      </w:r>
      <w:r>
        <w:rPr>
          <w:rStyle w:val="3"/>
          <w:rFonts w:ascii="Times New Roman" w:hAnsiTheme="minorHAnsi" w:eastAsiaTheme="minorHAnsi" w:cstheme="minorBidi"/>
          <w:color w:val="000000"/>
          <w:spacing w:val="19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个工作日内向公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司或公司的上级主管部门进一步提出申诉。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5.3.5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-8"/>
          <w:sz w:val="24"/>
        </w:rPr>
        <w:t>针对获证组织的投诉，业务部按照受理责任，将调查核实投诉的必要信息（除</w:t>
      </w:r>
    </w:p>
    <w:p>
      <w:pPr>
        <w:pStyle w:val="115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负有保密责任的信息之外）告知该获证组织，要求其书面说明相关的情况、以及分</w:t>
      </w:r>
    </w:p>
    <w:p>
      <w:pPr>
        <w:pStyle w:val="115"/>
        <w:spacing w:before="789" w:after="0" w:line="198" w:lineRule="exact"/>
        <w:ind w:left="4109" w:right="0" w:firstLine="0"/>
        <w:jc w:val="left"/>
        <w:rPr>
          <w:rStyle w:val="3"/>
          <w:rFonts w:ascii="TLAPBB+TimesNewRomanPSMT" w:hAnsiTheme="minorHAnsi" w:eastAsiaTheme="minorHAnsi" w:cstheme="minorBidi"/>
          <w:color w:val="000000"/>
          <w:spacing w:val="0"/>
          <w:sz w:val="18"/>
        </w:rPr>
        <w:sectPr>
          <w:pgSz w:w="11900" w:h="16820"/>
          <w:pgMar w:top="869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Style w:val="3"/>
          <w:rFonts w:ascii="TLAPBB+TimesNewRomanPSMT" w:hAnsiTheme="minorHAnsi" w:eastAsiaTheme="minorHAnsi" w:cstheme="minorBidi"/>
          <w:color w:val="000000"/>
          <w:spacing w:val="0"/>
          <w:sz w:val="18"/>
        </w:rPr>
        <w:t>3</w:t>
      </w:r>
    </w:p>
    <w:p>
      <w:pPr>
        <w:pStyle w:val="116"/>
        <w:spacing w:before="0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bookmarkStart w:id="0" w:name="_GoBack"/>
      <w:r>
        <w:drawing>
          <wp:anchor distT="0" distB="0" distL="114300" distR="114300" simplePos="0" relativeHeight="251705344" behindDoc="1" locked="0" layoutInCell="1" allowOverlap="1">
            <wp:simplePos x="0" y="0"/>
            <wp:positionH relativeFrom="page">
              <wp:posOffset>1051560</wp:posOffset>
            </wp:positionH>
            <wp:positionV relativeFrom="page">
              <wp:posOffset>751205</wp:posOffset>
            </wp:positionV>
            <wp:extent cx="5589905" cy="57785"/>
            <wp:effectExtent l="0" t="0" r="10795" b="18415"/>
            <wp:wrapNone/>
            <wp:docPr id="6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投诉、申诉和争议处理程序</w:t>
      </w:r>
      <w:bookmarkEnd w:id="0"/>
      <w:r>
        <w:rPr>
          <w:rStyle w:val="3"/>
          <w:rFonts w:ascii="Times New Roman" w:hAnsiTheme="minorHAnsi" w:eastAsiaTheme="minorHAnsi" w:cstheme="minorBidi"/>
          <w:color w:val="000000"/>
          <w:spacing w:val="2832"/>
          <w:sz w:val="24"/>
        </w:rPr>
        <w:t xml:space="preserve"> </w:t>
      </w: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HXJT/P11-B-2019</w:t>
      </w:r>
      <w:r>
        <w:rPr>
          <w:rStyle w:val="3"/>
          <w:rFonts w:ascii="Times New Roman" w:hAnsiTheme="minorHAnsi" w:eastAsiaTheme="minorHAnsi" w:cstheme="minorBidi"/>
          <w:color w:val="000000"/>
          <w:spacing w:val="180"/>
          <w:sz w:val="24"/>
        </w:rPr>
        <w:t xml:space="preserve"> </w:t>
      </w: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B/0</w:t>
      </w:r>
    </w:p>
    <w:p>
      <w:pPr>
        <w:pStyle w:val="116"/>
        <w:spacing w:before="374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析原因、采取必要纠正/预防措施、实施改进的情况。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5.3.6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-1"/>
          <w:sz w:val="24"/>
        </w:rPr>
        <w:t>投诉的受理、调查处理应由与投诉事项无关的人员实施，业务部汇总并形成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投诉处理建议经总经理批准后，应正式向投诉人提供书面投诉处理进展报告及处理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-3"/>
          <w:sz w:val="24"/>
        </w:rPr>
        <w:t>结论。必要时，征求投诉人及客户的意见，确定是否应将投诉事项予以公开，及公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开的方式和程度。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5.3.7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投诉应在受理后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60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日内处理完毕。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5.其他说明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5.1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接到申诉、投诉与争议后，业务部将分析确认是否成立，3</w:t>
      </w:r>
      <w:r>
        <w:rPr>
          <w:rStyle w:val="3"/>
          <w:rFonts w:ascii="Times New Roman" w:hAnsiTheme="minorHAnsi" w:eastAsiaTheme="minorHAnsi" w:cstheme="minorBidi"/>
          <w:color w:val="000000"/>
          <w:spacing w:val="19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个工作日内通知提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出人是否受理或说明不受理的原因。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5.2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-1"/>
          <w:sz w:val="24"/>
        </w:rPr>
        <w:t>公司对申诉、投诉和争议的处理程序经过公司批准后，通过公开文件、公开网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站等方式予以公布。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5.3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对所有申诉、投诉/抱怨及争议，应采取适当的纠正和预防措施。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5.4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-1"/>
          <w:sz w:val="24"/>
        </w:rPr>
        <w:t>每年业务部应将申诉、投诉与争议情况汇总分析后提交管理评审，并定期向认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证管理委员会通报。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5.5</w:t>
      </w:r>
      <w:r>
        <w:rPr>
          <w:rStyle w:val="3"/>
          <w:rFonts w:ascii="Times New Roman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申诉、投诉、争议处理完毕后，业务部应及时将相关资料归档保存。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6.相关记录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hint="eastAsia" w:ascii="新宋体" w:eastAsia="宋体" w:cstheme="minorBidi"/>
          <w:color w:val="000000"/>
          <w:spacing w:val="0"/>
          <w:sz w:val="24"/>
          <w:lang w:val="en-US" w:eastAsia="zh-CN"/>
        </w:rPr>
      </w:pPr>
      <w:r>
        <w:rPr>
          <w:rStyle w:val="3"/>
          <w:rFonts w:ascii="新宋体" w:hAnsi="新宋体" w:cs="新宋体" w:eastAsiaTheme="minorHAnsi"/>
          <w:color w:val="000000"/>
          <w:spacing w:val="0"/>
          <w:sz w:val="24"/>
        </w:rPr>
        <w:t>《申诉、投诉与争议处理记录》</w:t>
      </w:r>
      <w:r>
        <w:rPr>
          <w:rStyle w:val="3"/>
          <w:rFonts w:ascii="Times New Roman" w:hAnsiTheme="minorHAnsi" w:eastAsiaTheme="minorHAnsi" w:cstheme="minorBidi"/>
          <w:color w:val="000000"/>
          <w:spacing w:val="60"/>
          <w:sz w:val="24"/>
        </w:rPr>
        <w:t xml:space="preserve"> </w:t>
      </w:r>
      <w:r>
        <w:rPr>
          <w:rStyle w:val="3"/>
          <w:rFonts w:ascii="新宋体" w:hAnsiTheme="minorHAnsi" w:eastAsiaTheme="minorHAnsi" w:cstheme="minorBidi"/>
          <w:color w:val="000000"/>
          <w:spacing w:val="0"/>
          <w:sz w:val="24"/>
        </w:rPr>
        <w:t>HXJT/P11-B-0</w:t>
      </w:r>
      <w:r>
        <w:rPr>
          <w:rStyle w:val="3"/>
          <w:rFonts w:hint="eastAsia" w:ascii="新宋体" w:eastAsia="宋体" w:cstheme="minorBidi"/>
          <w:color w:val="000000"/>
          <w:spacing w:val="0"/>
          <w:sz w:val="24"/>
          <w:lang w:val="en-US" w:eastAsia="zh-CN"/>
        </w:rPr>
        <w:t>1</w:t>
      </w: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hint="eastAsia" w:ascii="新宋体" w:eastAsia="宋体" w:cstheme="minorBidi"/>
          <w:color w:val="000000"/>
          <w:spacing w:val="0"/>
          <w:sz w:val="24"/>
          <w:lang w:val="en-US" w:eastAsia="zh-CN"/>
        </w:rPr>
      </w:pP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hint="eastAsia" w:ascii="新宋体" w:eastAsia="宋体" w:cstheme="minorBidi"/>
          <w:color w:val="000000"/>
          <w:spacing w:val="0"/>
          <w:sz w:val="24"/>
          <w:lang w:val="en-US" w:eastAsia="zh-CN"/>
        </w:rPr>
      </w:pP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hint="eastAsia" w:ascii="新宋体" w:eastAsia="宋体" w:cstheme="minorBidi"/>
          <w:color w:val="000000"/>
          <w:spacing w:val="0"/>
          <w:sz w:val="24"/>
          <w:lang w:val="en-US" w:eastAsia="zh-CN"/>
        </w:rPr>
      </w:pP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hint="eastAsia" w:ascii="新宋体" w:eastAsia="宋体" w:cstheme="minorBidi"/>
          <w:color w:val="000000"/>
          <w:spacing w:val="0"/>
          <w:sz w:val="24"/>
          <w:lang w:val="en-US" w:eastAsia="zh-CN"/>
        </w:rPr>
      </w:pP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hint="eastAsia" w:ascii="新宋体" w:eastAsia="宋体" w:cstheme="minorBidi"/>
          <w:color w:val="000000"/>
          <w:spacing w:val="0"/>
          <w:sz w:val="24"/>
          <w:lang w:val="en-US" w:eastAsia="zh-CN"/>
        </w:rPr>
      </w:pP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hint="eastAsia" w:ascii="新宋体" w:eastAsia="宋体" w:cstheme="minorBidi"/>
          <w:color w:val="000000"/>
          <w:spacing w:val="0"/>
          <w:sz w:val="24"/>
          <w:lang w:val="en-US" w:eastAsia="zh-CN"/>
        </w:rPr>
      </w:pP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hint="eastAsia" w:ascii="新宋体" w:eastAsia="宋体" w:cstheme="minorBidi"/>
          <w:color w:val="000000"/>
          <w:spacing w:val="0"/>
          <w:sz w:val="24"/>
          <w:lang w:val="en-US" w:eastAsia="zh-CN"/>
        </w:rPr>
      </w:pP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hint="eastAsia" w:ascii="新宋体" w:eastAsia="宋体" w:cstheme="minorBidi"/>
          <w:color w:val="000000"/>
          <w:spacing w:val="0"/>
          <w:sz w:val="24"/>
          <w:lang w:val="en-US" w:eastAsia="zh-CN"/>
        </w:rPr>
      </w:pP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hint="eastAsia" w:ascii="新宋体" w:eastAsia="宋体" w:cstheme="minorBidi"/>
          <w:color w:val="000000"/>
          <w:spacing w:val="0"/>
          <w:sz w:val="24"/>
          <w:lang w:val="en-US" w:eastAsia="zh-CN"/>
        </w:rPr>
      </w:pP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hint="eastAsia" w:ascii="新宋体" w:eastAsia="宋体" w:cstheme="minorBidi"/>
          <w:color w:val="000000"/>
          <w:spacing w:val="0"/>
          <w:sz w:val="24"/>
          <w:lang w:val="en-US" w:eastAsia="zh-CN"/>
        </w:rPr>
      </w:pP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hint="eastAsia" w:ascii="新宋体" w:eastAsia="宋体" w:cstheme="minorBidi"/>
          <w:color w:val="000000"/>
          <w:spacing w:val="0"/>
          <w:sz w:val="24"/>
          <w:lang w:val="en-US" w:eastAsia="zh-CN"/>
        </w:rPr>
      </w:pP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hint="eastAsia" w:ascii="新宋体" w:eastAsia="宋体" w:cstheme="minorBidi"/>
          <w:color w:val="000000"/>
          <w:spacing w:val="0"/>
          <w:sz w:val="24"/>
          <w:lang w:val="en-US" w:eastAsia="zh-CN"/>
        </w:rPr>
      </w:pP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hint="eastAsia" w:ascii="新宋体" w:eastAsia="宋体" w:cstheme="minorBidi"/>
          <w:color w:val="000000"/>
          <w:spacing w:val="0"/>
          <w:sz w:val="24"/>
          <w:lang w:val="en-US" w:eastAsia="zh-CN"/>
        </w:rPr>
      </w:pPr>
    </w:p>
    <w:p>
      <w:pPr>
        <w:pStyle w:val="116"/>
        <w:spacing w:before="218" w:after="0" w:line="250" w:lineRule="exact"/>
        <w:ind w:left="0" w:right="0" w:firstLine="0"/>
        <w:jc w:val="left"/>
        <w:rPr>
          <w:rStyle w:val="3"/>
          <w:rFonts w:hint="eastAsia" w:ascii="新宋体" w:eastAsia="宋体" w:cstheme="minorBidi"/>
          <w:color w:val="000000"/>
          <w:spacing w:val="0"/>
          <w:sz w:val="24"/>
          <w:lang w:val="en-US" w:eastAsia="zh-CN"/>
        </w:rPr>
      </w:pPr>
    </w:p>
    <w:p>
      <w:pPr>
        <w:pStyle w:val="116"/>
        <w:spacing w:before="218" w:after="0" w:line="250" w:lineRule="exact"/>
        <w:ind w:left="0" w:right="0" w:firstLine="3990" w:firstLineChars="1900"/>
        <w:jc w:val="both"/>
        <w:rPr>
          <w:rStyle w:val="3"/>
          <w:rFonts w:hint="eastAsia" w:ascii="楷体" w:hAnsi="楷体" w:eastAsia="楷体" w:cs="楷体"/>
          <w:color w:val="000000"/>
          <w:spacing w:val="0"/>
          <w:sz w:val="21"/>
          <w:szCs w:val="21"/>
          <w:lang w:val="en-US" w:eastAsia="zh-CN"/>
        </w:rPr>
        <w:sectPr>
          <w:pgSz w:w="11900" w:h="16820"/>
          <w:pgMar w:top="869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Style w:val="3"/>
          <w:rFonts w:hint="eastAsia" w:ascii="楷体" w:hAnsi="楷体" w:eastAsia="楷体" w:cs="楷体"/>
          <w:color w:val="000000"/>
          <w:spacing w:val="0"/>
          <w:sz w:val="21"/>
          <w:szCs w:val="21"/>
          <w:lang w:val="en-US" w:eastAsia="zh-CN"/>
        </w:rPr>
        <w:t>4</w:t>
      </w:r>
    </w:p>
    <w:p>
      <w:pPr>
        <w:pStyle w:val="166"/>
        <w:spacing w:before="3023" w:after="0" w:line="230" w:lineRule="exact"/>
        <w:ind w:right="0"/>
        <w:jc w:val="left"/>
        <w:rPr>
          <w:rStyle w:val="3"/>
          <w:rFonts w:ascii="Calibri" w:hAnsiTheme="minorHAnsi" w:eastAsiaTheme="minorHAnsi" w:cstheme="minorBidi"/>
          <w:color w:val="000000"/>
          <w:spacing w:val="0"/>
          <w:sz w:val="18"/>
        </w:rPr>
      </w:pPr>
    </w:p>
    <w:sectPr>
      <w:pgSz w:w="11900" w:h="16820"/>
      <w:pgMar w:top="100" w:right="0" w:bottom="1654" w:left="882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VCESDK+Wingdings-Regular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LFJFJ+Wingdings-Regular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AMMCW+Wingdings-Regular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AIFQV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PLRPW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LAPBB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GOQNM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1"/>
    <w:family w:val="auto"/>
    <w:pitch w:val="default"/>
    <w:sig w:usb0="A00002EF" w:usb1="400020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73E18"/>
    <w:rsid w:val="545E2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">
    <w:name w:val="Normal_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">
    <w:name w:val="Normal_3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">
    <w:name w:val="Normal_4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">
    <w:name w:val="Normal_5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">
    <w:name w:val="Normal_6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">
    <w:name w:val="Normal_7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">
    <w:name w:val="Normal_8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">
    <w:name w:val="Normal_9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">
    <w:name w:val="Normal_1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">
    <w:name w:val="Normal_1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">
    <w:name w:val="Normal_1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7">
    <w:name w:val="Normal_13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8">
    <w:name w:val="Normal_14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9">
    <w:name w:val="Normal_15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Normal_16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1">
    <w:name w:val="Normal_17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2">
    <w:name w:val="Normal_18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3">
    <w:name w:val="Normal_19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4">
    <w:name w:val="Normal_2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5">
    <w:name w:val="Normal_2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6">
    <w:name w:val="Normal_22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7">
    <w:name w:val="Normal_23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8">
    <w:name w:val="Normal_24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9">
    <w:name w:val="Normal_25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0">
    <w:name w:val="Normal_26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1">
    <w:name w:val="Normal_27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2">
    <w:name w:val="Normal_28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3">
    <w:name w:val="Normal_29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4">
    <w:name w:val="Normal_3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5">
    <w:name w:val="Normal_3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6">
    <w:name w:val="Normal_32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7">
    <w:name w:val="Normal_33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8">
    <w:name w:val="Normal_34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9">
    <w:name w:val="Normal_35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0">
    <w:name w:val="Normal_36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1">
    <w:name w:val="Normal_37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2">
    <w:name w:val="Normal_38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3">
    <w:name w:val="Normal_39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5">
    <w:name w:val="Normal_4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6">
    <w:name w:val="Normal_42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8">
    <w:name w:val="Normal_44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9">
    <w:name w:val="Normal_45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0">
    <w:name w:val="Normal_46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1">
    <w:name w:val="Normal_47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2">
    <w:name w:val="Normal_48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3">
    <w:name w:val="Normal_49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4">
    <w:name w:val="Normal_0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5">
    <w:name w:val="Normal_1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6">
    <w:name w:val="Normal_2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7">
    <w:name w:val="Normal_3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8">
    <w:name w:val="Normal_4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9">
    <w:name w:val="Normal_5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0">
    <w:name w:val="Normal_6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1">
    <w:name w:val="Normal_7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2">
    <w:name w:val="Normal_8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3">
    <w:name w:val="Normal_9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4">
    <w:name w:val="Normal_10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5">
    <w:name w:val="Normal_11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6">
    <w:name w:val="Normal_12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7">
    <w:name w:val="Normal_13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8">
    <w:name w:val="Normal_14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9">
    <w:name w:val="Normal_15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0">
    <w:name w:val="Normal_16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1">
    <w:name w:val="Normal_17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2">
    <w:name w:val="Normal_18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3">
    <w:name w:val="Normal_19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4">
    <w:name w:val="Normal_20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5">
    <w:name w:val="Normal_21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6">
    <w:name w:val="Normal_22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7">
    <w:name w:val="Normal_23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8">
    <w:name w:val="Normal_24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9">
    <w:name w:val="Normal_25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0">
    <w:name w:val="Normal_26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1">
    <w:name w:val="Normal_27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2">
    <w:name w:val="Normal_28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3">
    <w:name w:val="Normal_29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4">
    <w:name w:val="Normal_30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5">
    <w:name w:val="Normal_31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6">
    <w:name w:val="Normal_32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7">
    <w:name w:val="Normal_33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8">
    <w:name w:val="Normal_34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9">
    <w:name w:val="Normal_35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0">
    <w:name w:val="Normal_36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1">
    <w:name w:val="Normal_37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2">
    <w:name w:val="Normal_38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3">
    <w:name w:val="Normal_39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4">
    <w:name w:val="Normal_40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5">
    <w:name w:val="Normal_41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6">
    <w:name w:val="Normal_42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7">
    <w:name w:val="Normal_43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8">
    <w:name w:val="Normal_44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9">
    <w:name w:val="Normal_45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0">
    <w:name w:val="Normal_46_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01">
    <w:name w:val="Normal_47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2">
    <w:name w:val="Normal_48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3">
    <w:name w:val="Normal_49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4">
    <w:name w:val="Normal_0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5">
    <w:name w:val="Normal_1_1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06">
    <w:name w:val="Normal_2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7">
    <w:name w:val="Normal_3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8">
    <w:name w:val="Normal_4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9">
    <w:name w:val="Normal_5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0">
    <w:name w:val="Normal_6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1">
    <w:name w:val="Normal_7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2">
    <w:name w:val="Normal_8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3">
    <w:name w:val="Normal_9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4">
    <w:name w:val="Normal_10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5">
    <w:name w:val="Normal_11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6">
    <w:name w:val="Normal_12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7">
    <w:name w:val="Normal_13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8">
    <w:name w:val="Normal_14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9">
    <w:name w:val="Normal_15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0">
    <w:name w:val="Normal_16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1">
    <w:name w:val="Normal_17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2">
    <w:name w:val="Normal_18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3">
    <w:name w:val="Normal_19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4">
    <w:name w:val="Normal_20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5">
    <w:name w:val="Normal_21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6">
    <w:name w:val="Normal_22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7">
    <w:name w:val="Normal_23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8">
    <w:name w:val="Normal_24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9">
    <w:name w:val="Normal_25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0">
    <w:name w:val="Normal_26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1">
    <w:name w:val="Normal_27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2">
    <w:name w:val="Normal_28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3">
    <w:name w:val="Normal_29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4">
    <w:name w:val="Normal_30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5">
    <w:name w:val="Normal_31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6">
    <w:name w:val="Normal_32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7">
    <w:name w:val="Normal_33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8">
    <w:name w:val="Normal_34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9">
    <w:name w:val="Normal_35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0">
    <w:name w:val="Normal_36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1">
    <w:name w:val="Normal_37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2">
    <w:name w:val="Normal_38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3">
    <w:name w:val="Normal_39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4">
    <w:name w:val="Normal_40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5">
    <w:name w:val="Normal_41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6">
    <w:name w:val="Normal_42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7">
    <w:name w:val="Normal_43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8">
    <w:name w:val="Normal_44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9">
    <w:name w:val="Normal_45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0">
    <w:name w:val="Normal_46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1">
    <w:name w:val="Normal_47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2">
    <w:name w:val="Normal_48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3">
    <w:name w:val="Normal_49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4">
    <w:name w:val="Normal_0_2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5">
    <w:name w:val="Normal_1_2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6">
    <w:name w:val="Normal_2_2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7">
    <w:name w:val="Normal_3_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8">
    <w:name w:val="Normal_4_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9">
    <w:name w:val="Normal_5_2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0">
    <w:name w:val="Normal_6_2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1">
    <w:name w:val="Normal_7_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2">
    <w:name w:val="Normal_8_2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3">
    <w:name w:val="Normal_9_2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4">
    <w:name w:val="Normal_10_2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5">
    <w:name w:val="Normal_11_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6">
    <w:name w:val="Normal_12_2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2020-07-27T02:09:00Z</dcterms:created>
  <dc:creator>Administrator</dc:creator>
  <cp:lastModifiedBy>Administrator</cp:lastModifiedBy>
  <dcterms:modified xsi:type="dcterms:W3CDTF">2020-07-27T02:45:33Z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